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hint="default" w:eastAsia="宋体" w:cs="Arial"/>
          <w:b/>
          <w:sz w:val="24"/>
          <w:szCs w:val="24"/>
          <w:lang w:val="en-US" w:eastAsia="zh-CN"/>
        </w:rPr>
      </w:pPr>
      <w:r>
        <w:rPr>
          <w:rFonts w:cs="Arial"/>
          <w:b/>
          <w:bCs/>
          <w:sz w:val="24"/>
          <w:szCs w:val="24"/>
        </w:rPr>
        <w:t>3GPP TSG-RAN WG3 Meeting #1</w:t>
      </w:r>
      <w:r>
        <w:rPr>
          <w:rFonts w:hint="eastAsia" w:eastAsia="宋体" w:cs="Arial"/>
          <w:b/>
          <w:bCs/>
          <w:sz w:val="24"/>
          <w:szCs w:val="24"/>
          <w:lang w:val="en-US" w:eastAsia="zh-CN"/>
        </w:rPr>
        <w:t>20</w:t>
      </w:r>
      <w:r>
        <w:rPr>
          <w:rFonts w:cs="Arial"/>
          <w:b/>
          <w:sz w:val="24"/>
          <w:szCs w:val="24"/>
        </w:rPr>
        <w:tab/>
      </w:r>
      <w:r>
        <w:rPr>
          <w:rFonts w:hint="eastAsia"/>
          <w:b/>
          <w:i/>
          <w:sz w:val="28"/>
        </w:rPr>
        <w:t>R3-23</w:t>
      </w:r>
      <w:r>
        <w:rPr>
          <w:rFonts w:hint="eastAsia" w:eastAsia="宋体"/>
          <w:b/>
          <w:i/>
          <w:sz w:val="28"/>
          <w:lang w:val="en-US" w:eastAsia="zh-CN"/>
        </w:rPr>
        <w:t>3278</w:t>
      </w:r>
      <w:bookmarkStart w:id="0" w:name="_GoBack"/>
      <w:bookmarkEnd w:id="0"/>
    </w:p>
    <w:p>
      <w:pPr>
        <w:pStyle w:val="15"/>
        <w:jc w:val="both"/>
        <w:rPr>
          <w:rFonts w:hint="eastAsia" w:eastAsia="宋体"/>
          <w:b/>
          <w:bCs w:val="0"/>
          <w:i w:val="0"/>
          <w:sz w:val="24"/>
        </w:rPr>
      </w:pPr>
      <w:r>
        <w:rPr>
          <w:rFonts w:hint="eastAsia" w:eastAsia="宋体"/>
          <w:b/>
          <w:bCs w:val="0"/>
          <w:i w:val="0"/>
          <w:sz w:val="24"/>
        </w:rPr>
        <w:t>Incheon, 22 May – 26 May 2023</w:t>
      </w:r>
    </w:p>
    <w:p>
      <w:pPr>
        <w:pStyle w:val="15"/>
        <w:jc w:val="both"/>
        <w:rPr>
          <w:rFonts w:hint="eastAsia" w:eastAsia="宋体"/>
          <w:b/>
          <w:bCs w:val="0"/>
          <w:i w:val="0"/>
          <w:sz w:val="24"/>
        </w:rPr>
      </w:pPr>
    </w:p>
    <w:p>
      <w:pPr>
        <w:tabs>
          <w:tab w:val="left" w:pos="1985"/>
        </w:tabs>
        <w:ind w:left="1980" w:hanging="1980"/>
        <w:rPr>
          <w:rStyle w:val="74"/>
        </w:rPr>
      </w:pPr>
      <w:r>
        <w:rPr>
          <w:b/>
          <w:sz w:val="24"/>
        </w:rPr>
        <w:t>Title:</w:t>
      </w:r>
      <w:r>
        <w:rPr>
          <w:sz w:val="24"/>
        </w:rPr>
        <w:t xml:space="preserve"> </w:t>
      </w:r>
      <w:r>
        <w:rPr>
          <w:sz w:val="24"/>
        </w:rPr>
        <w:tab/>
      </w:r>
      <w:r>
        <w:rPr>
          <w:rFonts w:hint="eastAsia"/>
          <w:sz w:val="24"/>
        </w:rPr>
        <w:t>NR QoE continuity during intra-5GC inter-RAT handover</w:t>
      </w:r>
    </w:p>
    <w:p>
      <w:pPr>
        <w:tabs>
          <w:tab w:val="left" w:pos="1985"/>
        </w:tabs>
        <w:rPr>
          <w:rStyle w:val="74"/>
          <w:lang w:val="en-GB"/>
        </w:rPr>
      </w:pPr>
      <w:r>
        <w:rPr>
          <w:b/>
          <w:sz w:val="24"/>
        </w:rPr>
        <w:t xml:space="preserve">Source: </w:t>
      </w:r>
      <w:r>
        <w:rPr>
          <w:b/>
          <w:sz w:val="24"/>
        </w:rPr>
        <w:tab/>
      </w:r>
      <w:r>
        <w:rPr>
          <w:rFonts w:hint="eastAsia"/>
          <w:bCs/>
          <w:sz w:val="24"/>
        </w:rPr>
        <w:t>China Unicom</w:t>
      </w:r>
    </w:p>
    <w:p>
      <w:pPr>
        <w:tabs>
          <w:tab w:val="left" w:pos="1985"/>
        </w:tabs>
        <w:rPr>
          <w:rStyle w:val="74"/>
          <w:rFonts w:hint="eastAsia" w:eastAsia="宋体"/>
          <w:lang w:val="en-US" w:eastAsia="zh-CN"/>
        </w:rPr>
      </w:pPr>
      <w:r>
        <w:rPr>
          <w:b/>
          <w:sz w:val="24"/>
        </w:rPr>
        <w:t>Agenda item:</w:t>
      </w:r>
      <w:r>
        <w:rPr>
          <w:sz w:val="24"/>
        </w:rPr>
        <w:tab/>
      </w:r>
      <w:r>
        <w:rPr>
          <w:rFonts w:hint="eastAsia"/>
          <w:sz w:val="24"/>
          <w:lang w:val="en-US"/>
        </w:rPr>
        <w:t>11</w:t>
      </w:r>
      <w:r>
        <w:rPr>
          <w:sz w:val="24"/>
        </w:rPr>
        <w:t>.</w:t>
      </w:r>
      <w:r>
        <w:rPr>
          <w:rFonts w:hint="eastAsia" w:eastAsia="宋体"/>
          <w:sz w:val="24"/>
          <w:lang w:val="en-US" w:eastAsia="zh-CN"/>
        </w:rPr>
        <w:t>4</w:t>
      </w:r>
    </w:p>
    <w:p>
      <w:pPr>
        <w:tabs>
          <w:tab w:val="left" w:pos="1985"/>
        </w:tabs>
        <w:ind w:left="1980" w:hanging="1980"/>
        <w:rPr>
          <w:rStyle w:val="74"/>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ascii="Times New Roman" w:hAnsi="Times New Roman" w:eastAsia="宋体"/>
          <w:sz w:val="21"/>
          <w:szCs w:val="21"/>
          <w:lang w:val="en-US"/>
        </w:rPr>
        <w:t>6</w:t>
      </w:r>
      <w:r>
        <w:rPr>
          <w:rFonts w:ascii="Times New Roman" w:hAnsi="Times New Roman"/>
          <w:sz w:val="21"/>
          <w:szCs w:val="21"/>
        </w:rPr>
        <w:t xml:space="preserve"> (RP-2</w:t>
      </w:r>
      <w:r>
        <w:rPr>
          <w:rFonts w:ascii="Times New Roman" w:hAnsi="Times New Roman" w:eastAsia="宋体"/>
          <w:sz w:val="21"/>
          <w:szCs w:val="21"/>
          <w:lang w:val="en-US"/>
        </w:rPr>
        <w:t>21803</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after="0"/>
              <w:ind w:left="720" w:hanging="360"/>
              <w:rPr>
                <w:rFonts w:ascii="Times New Roman" w:hAnsi="Times New Roman"/>
                <w:sz w:val="21"/>
                <w:szCs w:val="21"/>
              </w:rPr>
            </w:pPr>
            <w:r>
              <w:rPr>
                <w:rFonts w:hint="eastAsia" w:ascii="Times New Roman" w:hAnsi="Times New Roman"/>
                <w:bCs/>
              </w:rPr>
              <w:t>Support the continuity of legacy QoE measurement job for streaming and MTSI service during intra-5GC inter-RAT handover process [RAN2, RAN3].</w:t>
            </w:r>
          </w:p>
        </w:tc>
      </w:tr>
    </w:tbl>
    <w:p>
      <w:pPr>
        <w:rPr>
          <w:rStyle w:val="43"/>
          <w:rFonts w:ascii="Times New Roman" w:hAnsi="Times New Roman" w:eastAsia="等线"/>
          <w:sz w:val="21"/>
          <w:szCs w:val="21"/>
          <w:lang w:val="en-GB"/>
        </w:rPr>
      </w:pPr>
    </w:p>
    <w:p>
      <w:pPr>
        <w:rPr>
          <w:rStyle w:val="43"/>
          <w:rFonts w:ascii="Times New Roman" w:hAnsi="Times New Roman" w:eastAsia="等线"/>
          <w:sz w:val="21"/>
          <w:szCs w:val="21"/>
        </w:rPr>
      </w:pPr>
      <w:r>
        <w:rPr>
          <w:rStyle w:val="43"/>
          <w:rFonts w:ascii="Times New Roman" w:hAnsi="Times New Roman"/>
          <w:sz w:val="21"/>
          <w:szCs w:val="21"/>
          <w:lang w:val="en-GB"/>
        </w:rPr>
        <w:t xml:space="preserve">This paper discusses how to </w:t>
      </w:r>
      <w:r>
        <w:rPr>
          <w:rStyle w:val="43"/>
          <w:rFonts w:hint="eastAsia" w:ascii="Times New Roman" w:hAnsi="Times New Roman" w:eastAsia="宋体"/>
          <w:sz w:val="21"/>
          <w:szCs w:val="21"/>
          <w:lang w:val="en-US" w:eastAsia="zh-CN"/>
        </w:rPr>
        <w:t xml:space="preserve">support the </w:t>
      </w:r>
      <w:r>
        <w:rPr>
          <w:rFonts w:hint="eastAsia" w:ascii="Times New Roman" w:hAnsi="Times New Roman"/>
          <w:bCs/>
        </w:rPr>
        <w:t>continuity of legacy QoE measurement job for streaming and MTSI service during intra-5GC inter-RAT handover process</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 xml:space="preserve"> HO from NR to LTE/5GC </w:t>
      </w:r>
    </w:p>
    <w:p>
      <w:pPr>
        <w:rPr>
          <w:rFonts w:hint="default" w:ascii="Times New Roman" w:hAnsi="Times New Roman" w:eastAsia="等线" w:cs="Calibri"/>
          <w:bCs/>
          <w:sz w:val="22"/>
          <w:szCs w:val="22"/>
          <w:lang w:val="en-US" w:eastAsia="zh-CN" w:bidi="ar-SA"/>
        </w:rPr>
      </w:pPr>
      <w:r>
        <w:rPr>
          <w:rFonts w:hint="default" w:ascii="Times New Roman" w:hAnsi="Times New Roman" w:eastAsia="等线" w:cs="Calibri"/>
          <w:bCs/>
          <w:sz w:val="22"/>
          <w:szCs w:val="22"/>
          <w:lang w:val="en-US" w:eastAsia="zh-CN" w:bidi="ar-SA"/>
        </w:rPr>
        <w:t xml:space="preserve">In the latest WID, the impacted existing TS/TR had been modified to has no impact with 36.*** specification, so TS38.423 can be modified even </w:t>
      </w:r>
      <w:r>
        <w:rPr>
          <w:rFonts w:hint="eastAsia" w:ascii="Times New Roman" w:hAnsi="Times New Roman" w:eastAsia="等线" w:cs="Calibri"/>
          <w:bCs/>
          <w:sz w:val="22"/>
          <w:szCs w:val="22"/>
          <w:lang w:val="en-US" w:eastAsia="zh-CN" w:bidi="ar-SA"/>
        </w:rPr>
        <w:t xml:space="preserve">if </w:t>
      </w:r>
      <w:r>
        <w:rPr>
          <w:rFonts w:hint="default" w:ascii="Times New Roman" w:hAnsi="Times New Roman" w:eastAsia="等线" w:cs="Calibri"/>
          <w:bCs/>
          <w:sz w:val="22"/>
          <w:szCs w:val="22"/>
          <w:lang w:val="en-US" w:eastAsia="zh-CN" w:bidi="ar-SA"/>
        </w:rPr>
        <w:t>it is related to gNB and NG-eNB.</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TS38.423 can be modified for QoE collection during intra-5GC inter-RAT handover for NG-eNB</w:t>
      </w:r>
      <w:r>
        <w:rPr>
          <w:rFonts w:ascii="Times New Roman" w:hAnsi="Times New Roman" w:eastAsia="等线"/>
          <w:b/>
          <w:bCs/>
          <w:sz w:val="22"/>
          <w:szCs w:val="22"/>
          <w:lang w:val="en-US"/>
        </w:rPr>
        <w:t>.</w:t>
      </w:r>
    </w:p>
    <w:p>
      <w:pPr>
        <w:rPr>
          <w:rFonts w:hint="eastAsia" w:ascii="Times New Roman" w:hAnsi="Times New Roman" w:eastAsia="等线" w:cs="Calibri"/>
          <w:bCs/>
          <w:sz w:val="22"/>
          <w:szCs w:val="22"/>
          <w:lang w:val="en-US" w:eastAsia="zh-CN" w:bidi="ar-SA"/>
        </w:rPr>
      </w:pP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In the current specification, the area scope is configured for only NR CGI, it need to be enhanced to support E-UTRA CGI to support the intra-5GC inter-RAT handover between LTE/5GC and NR.</w:t>
      </w:r>
    </w:p>
    <w:p>
      <w:pPr>
        <w:rPr>
          <w:rFonts w:hint="eastAsia" w:ascii="Times New Roman" w:hAnsi="Times New Roman" w:eastAsia="等线"/>
          <w:bCs/>
          <w:sz w:val="22"/>
          <w:szCs w:val="22"/>
          <w:lang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rPr>
        <w:t xml:space="preserve">The area scope </w:t>
      </w:r>
      <w:r>
        <w:rPr>
          <w:rFonts w:hint="eastAsia" w:ascii="Times New Roman" w:hAnsi="Times New Roman" w:eastAsia="等线"/>
          <w:b/>
          <w:sz w:val="22"/>
          <w:szCs w:val="22"/>
          <w:lang w:val="en-US" w:eastAsia="zh-CN"/>
        </w:rPr>
        <w:t xml:space="preserve">of QoE configuration </w:t>
      </w:r>
      <w:r>
        <w:rPr>
          <w:rFonts w:hint="eastAsia" w:ascii="Times New Roman" w:hAnsi="Times New Roman" w:eastAsia="等线"/>
          <w:b/>
          <w:sz w:val="22"/>
          <w:szCs w:val="22"/>
          <w:lang w:val="en-US"/>
        </w:rPr>
        <w:t>should be extend to support the E-UTRA CGI</w:t>
      </w:r>
      <w:r>
        <w:rPr>
          <w:rFonts w:hint="eastAsia" w:ascii="Times New Roman" w:hAnsi="Times New Roman" w:eastAsia="等线"/>
          <w:b/>
          <w:sz w:val="22"/>
          <w:szCs w:val="22"/>
          <w:lang w:val="en-US" w:eastAsia="zh-CN"/>
        </w:rPr>
        <w:t>.</w:t>
      </w:r>
    </w:p>
    <w:p>
      <w:pPr>
        <w:rPr>
          <w:rFonts w:hint="default" w:ascii="Times New Roman" w:hAnsi="Times New Roman" w:eastAsia="等线" w:cs="Calibri"/>
          <w:bCs/>
          <w:sz w:val="22"/>
          <w:szCs w:val="22"/>
          <w:lang w:val="en-US" w:eastAsia="zh-CN" w:bidi="ar-SA"/>
        </w:rPr>
      </w:pPr>
    </w:p>
    <w:p>
      <w:pPr>
        <w:rPr>
          <w:rFonts w:hint="default" w:ascii="Times New Roman" w:hAnsi="Times New Roman" w:eastAsia="等线" w:cs="Calibri"/>
          <w:bCs/>
          <w:sz w:val="22"/>
          <w:szCs w:val="22"/>
          <w:lang w:val="en-US" w:eastAsia="zh-CN" w:bidi="ar-SA"/>
        </w:rPr>
      </w:pPr>
      <w:r>
        <w:rPr>
          <w:rFonts w:hint="default" w:ascii="Times New Roman" w:hAnsi="Times New Roman" w:eastAsia="等线" w:cs="Calibri"/>
          <w:bCs/>
          <w:sz w:val="22"/>
          <w:szCs w:val="22"/>
          <w:lang w:val="en-US" w:eastAsia="zh-CN" w:bidi="ar-SA"/>
        </w:rPr>
        <w:t>During RAN2 Meeting #121, there is a LS send to RAN3: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Times New Roman" w:hAnsi="Times New Roman" w:eastAsia="等线" w:cs="Calibri"/>
                <w:bCs/>
                <w:sz w:val="22"/>
                <w:szCs w:val="22"/>
                <w:vertAlign w:val="baseline"/>
                <w:lang w:val="en-US" w:eastAsia="zh-CN" w:bidi="ar-SA"/>
              </w:rPr>
            </w:pPr>
            <w:r>
              <w:rPr>
                <w:rFonts w:hint="default" w:ascii="Times New Roman" w:hAnsi="Times New Roman" w:eastAsia="等线" w:cs="Calibri"/>
                <w:bCs/>
                <w:sz w:val="22"/>
                <w:szCs w:val="22"/>
                <w:vertAlign w:val="baseline"/>
                <w:lang w:val="en-US" w:eastAsia="zh-CN" w:bidi="ar-SA"/>
              </w:rPr>
              <w:t>Agree on the principles of Option 3 and Option 4:</w:t>
            </w:r>
          </w:p>
          <w:p>
            <w:pPr>
              <w:rPr>
                <w:rFonts w:hint="default" w:ascii="Times New Roman" w:hAnsi="Times New Roman" w:eastAsia="等线" w:cs="Calibri"/>
                <w:bCs/>
                <w:sz w:val="22"/>
                <w:szCs w:val="22"/>
                <w:vertAlign w:val="baseline"/>
                <w:lang w:val="en-US" w:eastAsia="zh-CN" w:bidi="ar-SA"/>
              </w:rPr>
            </w:pPr>
            <w:r>
              <w:rPr>
                <w:rFonts w:hint="default" w:ascii="Times New Roman" w:hAnsi="Times New Roman" w:eastAsia="等线" w:cs="Calibri"/>
                <w:bCs/>
                <w:sz w:val="22"/>
                <w:szCs w:val="22"/>
                <w:vertAlign w:val="baseline"/>
                <w:lang w:val="en-US" w:eastAsia="zh-CN" w:bidi="ar-SA"/>
              </w:rPr>
              <w:t>- Option 3: For HO from NR to LTE/5GC, the UE can keep and continue measurements for only</w:t>
            </w:r>
          </w:p>
          <w:p>
            <w:pPr>
              <w:rPr>
                <w:rFonts w:hint="default" w:ascii="Times New Roman" w:hAnsi="Times New Roman" w:eastAsia="等线" w:cs="Calibri"/>
                <w:bCs/>
                <w:sz w:val="22"/>
                <w:szCs w:val="22"/>
                <w:vertAlign w:val="baseline"/>
                <w:lang w:val="en-US" w:eastAsia="zh-CN" w:bidi="ar-SA"/>
              </w:rPr>
            </w:pPr>
            <w:r>
              <w:rPr>
                <w:rFonts w:hint="default" w:ascii="Times New Roman" w:hAnsi="Times New Roman" w:eastAsia="等线" w:cs="Calibri"/>
                <w:bCs/>
                <w:sz w:val="22"/>
                <w:szCs w:val="22"/>
                <w:vertAlign w:val="baseline"/>
                <w:lang w:val="en-US" w:eastAsia="zh-CN" w:bidi="ar-SA"/>
              </w:rPr>
              <w:t>one configuration for a service type supported in LTE</w:t>
            </w:r>
            <w:r>
              <w:rPr>
                <w:rFonts w:hint="eastAsia" w:ascii="Times New Roman" w:hAnsi="Times New Roman" w:eastAsia="等线" w:cs="Calibri"/>
                <w:bCs/>
                <w:sz w:val="22"/>
                <w:szCs w:val="22"/>
                <w:vertAlign w:val="baseline"/>
                <w:lang w:val="en-US" w:eastAsia="zh-CN" w:bidi="ar-SA"/>
              </w:rPr>
              <w:t>.</w:t>
            </w:r>
          </w:p>
        </w:tc>
      </w:tr>
    </w:tbl>
    <w:p>
      <w:pPr>
        <w:rPr>
          <w:rFonts w:hint="default" w:ascii="Times New Roman" w:hAnsi="Times New Roman" w:eastAsia="等线" w:cs="Calibri"/>
          <w:bCs/>
          <w:sz w:val="22"/>
          <w:szCs w:val="22"/>
          <w:lang w:val="en-US" w:eastAsia="zh-CN" w:bidi="ar-SA"/>
        </w:rPr>
      </w:pPr>
    </w:p>
    <w:p>
      <w:pPr>
        <w:rPr>
          <w:rFonts w:hint="default"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In this release, the NR QoE enhancement will not have any impacts to current LTE specification, but the QoE configuration for LTE and NR are different, some enhancements for how to coordinate the configuration between LTE and NR are needed.</w:t>
      </w: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In NR, multiple QoE configurations are supported, and in LTE, only one QoE configuration is supported. How to select one of the QoE configuration in multiple NR QoE configurations for LTE need to be discussed, there are two options:</w:t>
      </w: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Option 1: Source node(NR) decides which QoE configuration to be kept in LTE;</w:t>
      </w:r>
    </w:p>
    <w:p>
      <w:pPr>
        <w:rPr>
          <w:rFonts w:hint="default"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Option 2: Target node(LTE) decides which QoE configuration to be kept in LTE.</w:t>
      </w: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Considering there should be no impacts for LTE specification(TS36.331), the QoE configuration inside the RRC container can only transfer one QoE configuration according to current TS36.331.</w:t>
      </w:r>
    </w:p>
    <w:p>
      <w:pPr>
        <w:rPr>
          <w:rFonts w:hint="eastAsia"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 xml:space="preserve">For option 1, the source node can select one QoE configuration for streaming and MTSI service, then send this configuration inside the RRC container via </w:t>
      </w:r>
      <w:r>
        <w:rPr>
          <w:rFonts w:hint="default" w:ascii="Times New Roman" w:hAnsi="Times New Roman" w:eastAsia="等线" w:cs="Calibri"/>
          <w:bCs/>
          <w:i/>
          <w:iCs/>
          <w:sz w:val="22"/>
          <w:szCs w:val="22"/>
          <w:lang w:val="en-US" w:eastAsia="zh-CN" w:bidi="ar-SA"/>
        </w:rPr>
        <w:t>HandoverPreparationInformation</w:t>
      </w:r>
      <w:r>
        <w:rPr>
          <w:rFonts w:hint="eastAsia" w:ascii="Times New Roman" w:hAnsi="Times New Roman" w:eastAsia="等线" w:cs="Calibri"/>
          <w:bCs/>
          <w:i/>
          <w:iCs/>
          <w:sz w:val="22"/>
          <w:szCs w:val="22"/>
          <w:lang w:val="en-US" w:eastAsia="zh-CN" w:bidi="ar-SA"/>
        </w:rPr>
        <w:t xml:space="preserve"> </w:t>
      </w:r>
      <w:r>
        <w:rPr>
          <w:rFonts w:hint="eastAsia" w:ascii="Times New Roman" w:hAnsi="Times New Roman" w:eastAsia="等线" w:cs="Calibri"/>
          <w:bCs/>
          <w:sz w:val="22"/>
          <w:szCs w:val="22"/>
          <w:lang w:val="en-US" w:eastAsia="zh-CN" w:bidi="ar-SA"/>
        </w:rPr>
        <w:t>message to LTE. But if the target node doesn</w:t>
      </w:r>
      <w:r>
        <w:rPr>
          <w:rFonts w:hint="default" w:ascii="Times New Roman" w:hAnsi="Times New Roman" w:eastAsia="等线" w:cs="Calibri"/>
          <w:bCs/>
          <w:sz w:val="22"/>
          <w:szCs w:val="22"/>
          <w:lang w:val="en-US" w:eastAsia="zh-CN" w:bidi="ar-SA"/>
        </w:rPr>
        <w:t>’</w:t>
      </w:r>
      <w:r>
        <w:rPr>
          <w:rFonts w:hint="eastAsia" w:ascii="Times New Roman" w:hAnsi="Times New Roman" w:eastAsia="等线" w:cs="Calibri"/>
          <w:bCs/>
          <w:sz w:val="22"/>
          <w:szCs w:val="22"/>
          <w:lang w:val="en-US" w:eastAsia="zh-CN" w:bidi="ar-SA"/>
        </w:rPr>
        <w:t>t support the QoE configuration send from the source node, no QoE configuration can be resumed.</w:t>
      </w:r>
    </w:p>
    <w:p>
      <w:pPr>
        <w:rPr>
          <w:rFonts w:hint="default"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 xml:space="preserve">For option 2, all the s-based QoE configurations can be send from NR to LTE outside the RRC container, which can be included in the </w:t>
      </w:r>
      <w:r>
        <w:rPr>
          <w:rFonts w:hint="eastAsia" w:ascii="Times New Roman" w:hAnsi="Times New Roman" w:eastAsia="等线" w:cs="Calibri"/>
          <w:bCs/>
          <w:i/>
          <w:iCs/>
          <w:sz w:val="22"/>
          <w:szCs w:val="22"/>
          <w:lang w:val="en-US" w:eastAsia="zh-CN" w:bidi="ar-SA"/>
        </w:rPr>
        <w:t>UE Application Layer Measurement Configuration Information</w:t>
      </w:r>
      <w:r>
        <w:rPr>
          <w:rFonts w:hint="eastAsia" w:ascii="Times New Roman" w:hAnsi="Times New Roman" w:eastAsia="等线" w:cs="Calibri"/>
          <w:bCs/>
          <w:sz w:val="22"/>
          <w:szCs w:val="22"/>
          <w:lang w:val="en-US" w:eastAsia="zh-CN" w:bidi="ar-SA"/>
        </w:rPr>
        <w:t xml:space="preserve"> message defined in Ng/Xn specification. Then target node can select one of the QoE configuration to continue in the target node. In this method, the QoE configuration in the RRC container will not be the final decision for the QoE configuration which need to be keep in the target node.</w:t>
      </w:r>
    </w:p>
    <w:p>
      <w:pPr>
        <w:rPr>
          <w:rFonts w:hint="default" w:ascii="Times New Roman" w:hAnsi="Times New Roman" w:eastAsia="等线" w:cs="Calibri"/>
          <w:b/>
          <w:bCs w:val="0"/>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3</w:t>
      </w:r>
      <w:r>
        <w:rPr>
          <w:rFonts w:hint="default" w:ascii="Times New Roman" w:hAnsi="Times New Roman" w:eastAsia="等线" w:cs="Calibri"/>
          <w:b/>
          <w:bCs w:val="0"/>
          <w:sz w:val="22"/>
          <w:szCs w:val="22"/>
          <w:lang w:val="en-US" w:eastAsia="zh-CN" w:bidi="ar-SA"/>
        </w:rPr>
        <w:t>: For HO from NR to LTE/5GC, only one QoE configuration can be keep, so</w:t>
      </w:r>
      <w:r>
        <w:rPr>
          <w:rFonts w:hint="eastAsia" w:ascii="Times New Roman" w:hAnsi="Times New Roman" w:eastAsia="等线" w:cs="Calibri"/>
          <w:b/>
          <w:bCs w:val="0"/>
          <w:sz w:val="22"/>
          <w:szCs w:val="22"/>
          <w:lang w:val="en-US" w:eastAsia="zh-CN" w:bidi="ar-SA"/>
        </w:rPr>
        <w:t>ur</w:t>
      </w:r>
      <w:r>
        <w:rPr>
          <w:rFonts w:hint="default" w:ascii="Times New Roman" w:hAnsi="Times New Roman" w:eastAsia="等线" w:cs="Calibri"/>
          <w:b/>
          <w:bCs w:val="0"/>
          <w:sz w:val="22"/>
          <w:szCs w:val="22"/>
          <w:lang w:val="en-US" w:eastAsia="zh-CN" w:bidi="ar-SA"/>
        </w:rPr>
        <w:t>ce gNB</w:t>
      </w:r>
      <w:r>
        <w:rPr>
          <w:rFonts w:hint="eastAsia" w:ascii="Times New Roman" w:hAnsi="Times New Roman" w:eastAsia="等线" w:cs="Calibri"/>
          <w:b/>
          <w:bCs w:val="0"/>
          <w:sz w:val="22"/>
          <w:szCs w:val="22"/>
          <w:lang w:val="en-US" w:eastAsia="zh-CN" w:bidi="ar-SA"/>
        </w:rPr>
        <w:t xml:space="preserve"> </w:t>
      </w:r>
      <w:r>
        <w:rPr>
          <w:rFonts w:hint="default" w:ascii="Times New Roman" w:hAnsi="Times New Roman" w:eastAsia="等线" w:cs="Calibri"/>
          <w:b/>
          <w:bCs w:val="0"/>
          <w:sz w:val="22"/>
          <w:szCs w:val="22"/>
          <w:lang w:val="en-US" w:eastAsia="zh-CN" w:bidi="ar-SA"/>
        </w:rPr>
        <w:t>should transmit all signaling-based QoE configuration to target NG-eNB, and include a recommended</w:t>
      </w:r>
      <w:r>
        <w:rPr>
          <w:rFonts w:hint="eastAsia" w:ascii="Times New Roman" w:hAnsi="Times New Roman" w:eastAsia="等线" w:cs="Calibri"/>
          <w:b/>
          <w:bCs w:val="0"/>
          <w:sz w:val="22"/>
          <w:szCs w:val="22"/>
          <w:lang w:val="en-US" w:eastAsia="zh-CN" w:bidi="ar-SA"/>
        </w:rPr>
        <w:t xml:space="preserve"> </w:t>
      </w:r>
      <w:r>
        <w:rPr>
          <w:rFonts w:hint="default" w:ascii="Times New Roman" w:hAnsi="Times New Roman" w:eastAsia="等线" w:cs="Calibri"/>
          <w:b/>
          <w:bCs w:val="0"/>
          <w:sz w:val="22"/>
          <w:szCs w:val="22"/>
          <w:lang w:val="en-US" w:eastAsia="zh-CN" w:bidi="ar-SA"/>
        </w:rPr>
        <w:t>QoE configuration in RRC container(HandoverPreparationInformation);</w:t>
      </w:r>
    </w:p>
    <w:p>
      <w:pPr>
        <w:rPr>
          <w:rFonts w:hint="default" w:ascii="Times New Roman" w:hAnsi="Times New Roman" w:eastAsia="等线" w:cs="Calibri"/>
          <w:b/>
          <w:bCs w:val="0"/>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4</w:t>
      </w:r>
      <w:r>
        <w:rPr>
          <w:rFonts w:hint="default" w:ascii="Times New Roman" w:hAnsi="Times New Roman" w:eastAsia="等线" w:cs="Calibri"/>
          <w:b/>
          <w:bCs w:val="0"/>
          <w:sz w:val="22"/>
          <w:szCs w:val="22"/>
          <w:lang w:val="en-US" w:eastAsia="zh-CN" w:bidi="ar-SA"/>
        </w:rPr>
        <w:t xml:space="preserve">: Target NG-eNB should make the final decision about which </w:t>
      </w:r>
      <w:r>
        <w:rPr>
          <w:rFonts w:hint="eastAsia" w:ascii="Times New Roman" w:hAnsi="Times New Roman" w:eastAsia="等线" w:cs="Calibri"/>
          <w:b/>
          <w:bCs w:val="0"/>
          <w:sz w:val="22"/>
          <w:szCs w:val="22"/>
          <w:lang w:val="en-US" w:eastAsia="zh-CN" w:bidi="ar-SA"/>
        </w:rPr>
        <w:t xml:space="preserve">QoE </w:t>
      </w:r>
      <w:r>
        <w:rPr>
          <w:rFonts w:hint="default" w:ascii="Times New Roman" w:hAnsi="Times New Roman" w:eastAsia="等线" w:cs="Calibri"/>
          <w:b/>
          <w:bCs w:val="0"/>
          <w:sz w:val="22"/>
          <w:szCs w:val="22"/>
          <w:lang w:val="en-US" w:eastAsia="zh-CN" w:bidi="ar-SA"/>
        </w:rPr>
        <w:t>configuration to keep.</w:t>
      </w:r>
    </w:p>
    <w:p>
      <w:pPr>
        <w:rPr>
          <w:rFonts w:hint="eastAsia" w:ascii="Times New Roman" w:hAnsi="Times New Roman" w:eastAsia="等线" w:cs="Calibri"/>
          <w:bCs/>
          <w:sz w:val="22"/>
          <w:szCs w:val="22"/>
          <w:lang w:val="en-US" w:eastAsia="zh-CN" w:bidi="ar-SA"/>
        </w:rPr>
      </w:pPr>
    </w:p>
    <w:p>
      <w:pPr>
        <w:rPr>
          <w:rFonts w:hint="default" w:ascii="Times New Roman" w:hAnsi="Times New Roman" w:eastAsia="等线" w:cs="Calibri"/>
          <w:bCs/>
          <w:sz w:val="22"/>
          <w:szCs w:val="22"/>
          <w:lang w:val="en-US" w:eastAsia="zh-CN" w:bidi="ar-SA"/>
        </w:rPr>
      </w:pPr>
      <w:r>
        <w:rPr>
          <w:rFonts w:hint="eastAsia" w:ascii="Times New Roman" w:hAnsi="Times New Roman" w:eastAsia="等线" w:cs="Calibri"/>
          <w:bCs/>
          <w:sz w:val="22"/>
          <w:szCs w:val="22"/>
          <w:lang w:val="en-US" w:eastAsia="zh-CN" w:bidi="ar-SA"/>
        </w:rPr>
        <w:t>There is a scenario that the UE move from NR to LTE, then move back to NR quickly, it is better for the NR to recover all the s-based QoE configuration in NR though only one QoE configuration is supported in LTE. In this scenario, all the s-based QoE configuration need to be send from NR to LTE, and send back from LTE to NR when UE move back to NR.</w:t>
      </w:r>
    </w:p>
    <w:p>
      <w:pPr>
        <w:rPr>
          <w:rFonts w:hint="eastAsia" w:ascii="Times New Roman" w:hAnsi="Times New Roman" w:eastAsia="等线" w:cs="Calibri"/>
          <w:bCs/>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5</w:t>
      </w:r>
      <w:r>
        <w:rPr>
          <w:rFonts w:hint="default" w:ascii="Times New Roman" w:hAnsi="Times New Roman" w:eastAsia="等线" w:cs="Calibri"/>
          <w:b/>
          <w:bCs w:val="0"/>
          <w:sz w:val="22"/>
          <w:szCs w:val="22"/>
          <w:lang w:val="en-US" w:eastAsia="zh-CN" w:bidi="ar-SA"/>
        </w:rPr>
        <w:t xml:space="preserve">: </w:t>
      </w:r>
      <w:r>
        <w:rPr>
          <w:rFonts w:hint="eastAsia" w:ascii="Times New Roman" w:hAnsi="Times New Roman" w:eastAsia="等线" w:cs="Calibri"/>
          <w:b/>
          <w:bCs w:val="0"/>
          <w:sz w:val="22"/>
          <w:szCs w:val="22"/>
          <w:lang w:val="en-US" w:eastAsia="zh-CN" w:bidi="ar-SA"/>
        </w:rPr>
        <w:t>The source NR node should send all the s-based QoE measurements configuration to target LTE node, and send back from LTE to NR when UE move back to NR.</w:t>
      </w:r>
    </w:p>
    <w:p>
      <w:pPr>
        <w:rPr>
          <w:rFonts w:hint="default" w:ascii="Times New Roman" w:hAnsi="Times New Roman" w:eastAsia="等线"/>
          <w:b/>
          <w:bCs/>
          <w:sz w:val="22"/>
          <w:szCs w:val="22"/>
          <w:lang w:val="en-US" w:eastAsia="zh-CN"/>
        </w:rPr>
      </w:pPr>
    </w:p>
    <w:p>
      <w:pPr>
        <w:pStyle w:val="3"/>
        <w:ind w:left="1134" w:hanging="1134"/>
        <w:rPr>
          <w:rFonts w:eastAsia="宋体" w:cs="Times New Roman"/>
          <w:sz w:val="24"/>
          <w:szCs w:val="20"/>
          <w:lang w:val="en-US"/>
        </w:rPr>
      </w:pPr>
      <w:r>
        <w:rPr>
          <w:rFonts w:hint="eastAsia" w:eastAsia="宋体" w:cs="Times New Roman"/>
          <w:sz w:val="24"/>
          <w:szCs w:val="20"/>
          <w:lang w:val="en-US" w:eastAsia="zh-CN"/>
        </w:rPr>
        <w:t xml:space="preserve"> HO from LTE/5GC</w:t>
      </w:r>
      <w:r>
        <w:rPr>
          <w:rFonts w:hint="eastAsia" w:eastAsia="宋体" w:cs="Times New Roman"/>
          <w:sz w:val="24"/>
          <w:szCs w:val="20"/>
          <w:lang w:val="en-US"/>
        </w:rPr>
        <w:t xml:space="preserve"> </w:t>
      </w:r>
      <w:r>
        <w:rPr>
          <w:rFonts w:hint="eastAsia" w:eastAsia="宋体" w:cs="Times New Roman"/>
          <w:sz w:val="24"/>
          <w:szCs w:val="20"/>
          <w:lang w:val="en-US" w:eastAsia="zh-CN"/>
        </w:rPr>
        <w:t>to NR</w:t>
      </w: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Since the LTE/5GC only support one QoE configuration and it is no need to use QoE reference and RRC ID to identify different QoE configurations</w:t>
      </w:r>
      <w:r>
        <w:rPr>
          <w:rFonts w:hint="eastAsia" w:ascii="Times New Roman" w:hAnsi="Times New Roman" w:eastAsia="等线"/>
          <w:bCs/>
          <w:sz w:val="22"/>
          <w:szCs w:val="22"/>
          <w:highlight w:val="none"/>
          <w:lang w:val="en-US"/>
        </w:rPr>
        <w:t>.</w:t>
      </w:r>
      <w:r>
        <w:rPr>
          <w:rFonts w:hint="eastAsia" w:ascii="Times New Roman" w:hAnsi="Times New Roman" w:eastAsia="等线"/>
          <w:bCs/>
          <w:sz w:val="22"/>
          <w:szCs w:val="22"/>
          <w:highlight w:val="none"/>
          <w:lang w:val="en-US" w:eastAsia="zh-CN"/>
        </w:rPr>
        <w:t xml:space="preserve"> The target NR can allocate a RRC ID according to the QoE reference send from the source LTE/5GC in </w:t>
      </w:r>
      <w:r>
        <w:rPr>
          <w:rFonts w:hint="eastAsia" w:ascii="Times New Roman" w:hAnsi="Times New Roman" w:eastAsia="等线"/>
          <w:bCs/>
          <w:i/>
          <w:iCs/>
          <w:sz w:val="22"/>
          <w:szCs w:val="22"/>
          <w:highlight w:val="none"/>
          <w:lang w:val="en-US" w:eastAsia="zh-CN"/>
        </w:rPr>
        <w:t xml:space="preserve">HandoverCommand </w:t>
      </w:r>
      <w:r>
        <w:rPr>
          <w:rFonts w:hint="eastAsia" w:ascii="Times New Roman" w:hAnsi="Times New Roman" w:eastAsia="等线"/>
          <w:bCs/>
          <w:sz w:val="22"/>
          <w:szCs w:val="22"/>
          <w:highlight w:val="none"/>
          <w:lang w:val="en-US" w:eastAsia="zh-CN"/>
        </w:rPr>
        <w:t xml:space="preserve">message defined in TS38.331, and the RRC ID can be used by the QoE reporting send from UE to gNB. In Rel-17 NR QoE, the RRC ID is already supported in the TS38.331. </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hint="eastAsia" w:ascii="Times New Roman" w:hAnsi="Times New Roman" w:eastAsia="等线"/>
          <w:b/>
          <w:bCs/>
          <w:sz w:val="22"/>
          <w:szCs w:val="22"/>
          <w:lang w:val="en-US" w:eastAsia="zh-CN"/>
        </w:rPr>
        <w:t>HO from LTE/5GC to NR, there is no impacts for RAN3 specification</w:t>
      </w:r>
      <w:r>
        <w:rPr>
          <w:rFonts w:ascii="Times New Roman" w:hAnsi="Times New Roman" w:eastAsia="等线"/>
          <w:b/>
          <w:bCs/>
          <w:sz w:val="22"/>
          <w:szCs w:val="22"/>
          <w:lang w:val="en-US"/>
        </w:rPr>
        <w:t>.</w:t>
      </w:r>
    </w:p>
    <w:p>
      <w:pPr>
        <w:ind w:firstLine="1304" w:firstLineChars="0"/>
        <w:rPr>
          <w:rFonts w:hint="eastAsia"/>
          <w:lang w:val="en-US"/>
        </w:rPr>
      </w:pPr>
    </w:p>
    <w:p>
      <w:pPr>
        <w:pStyle w:val="2"/>
        <w:rPr>
          <w:rFonts w:eastAsia="宋体"/>
        </w:rPr>
      </w:pPr>
      <w:r>
        <w:rPr>
          <w:rFonts w:eastAsia="宋体"/>
        </w:rPr>
        <w:t>Conclusion</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TS38.423 can be modified for QoE collection during intra-5GC inter-RAT handover for NG-eNB</w:t>
      </w:r>
      <w:r>
        <w:rPr>
          <w:rFonts w:ascii="Times New Roman" w:hAnsi="Times New Roman" w:eastAsia="等线"/>
          <w:b/>
          <w:bCs/>
          <w:sz w:val="22"/>
          <w:szCs w:val="22"/>
          <w:lang w:val="en-US"/>
        </w:rPr>
        <w:t>.</w:t>
      </w:r>
    </w:p>
    <w:p>
      <w:pPr>
        <w:rPr>
          <w:rFonts w:hint="eastAsia" w:ascii="Times New Roman" w:hAnsi="Times New Roman" w:eastAsia="等线"/>
          <w:bCs/>
          <w:sz w:val="22"/>
          <w:szCs w:val="22"/>
          <w:lang w:eastAsia="zh-CN"/>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hint="eastAsia" w:ascii="Times New Roman" w:hAnsi="Times New Roman" w:eastAsia="等线"/>
          <w:b/>
          <w:sz w:val="22"/>
          <w:szCs w:val="22"/>
          <w:lang w:val="en-US"/>
        </w:rPr>
        <w:t xml:space="preserve">The area scope </w:t>
      </w:r>
      <w:r>
        <w:rPr>
          <w:rFonts w:hint="eastAsia" w:ascii="Times New Roman" w:hAnsi="Times New Roman" w:eastAsia="等线"/>
          <w:b/>
          <w:sz w:val="22"/>
          <w:szCs w:val="22"/>
          <w:lang w:val="en-US" w:eastAsia="zh-CN"/>
        </w:rPr>
        <w:t xml:space="preserve">of QoE configuration </w:t>
      </w:r>
      <w:r>
        <w:rPr>
          <w:rFonts w:hint="eastAsia" w:ascii="Times New Roman" w:hAnsi="Times New Roman" w:eastAsia="等线"/>
          <w:b/>
          <w:sz w:val="22"/>
          <w:szCs w:val="22"/>
          <w:lang w:val="en-US"/>
        </w:rPr>
        <w:t>should be extend to support the E-UTRA CGI</w:t>
      </w:r>
      <w:r>
        <w:rPr>
          <w:rFonts w:hint="eastAsia" w:ascii="Times New Roman" w:hAnsi="Times New Roman" w:eastAsia="等线"/>
          <w:b/>
          <w:sz w:val="22"/>
          <w:szCs w:val="22"/>
          <w:lang w:val="en-US" w:eastAsia="zh-CN"/>
        </w:rPr>
        <w:t>.</w:t>
      </w:r>
    </w:p>
    <w:p>
      <w:pPr>
        <w:rPr>
          <w:rFonts w:hint="default" w:ascii="Times New Roman" w:hAnsi="Times New Roman" w:eastAsia="等线" w:cs="Calibri"/>
          <w:b/>
          <w:bCs w:val="0"/>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3</w:t>
      </w:r>
      <w:r>
        <w:rPr>
          <w:rFonts w:hint="default" w:ascii="Times New Roman" w:hAnsi="Times New Roman" w:eastAsia="等线" w:cs="Calibri"/>
          <w:b/>
          <w:bCs w:val="0"/>
          <w:sz w:val="22"/>
          <w:szCs w:val="22"/>
          <w:lang w:val="en-US" w:eastAsia="zh-CN" w:bidi="ar-SA"/>
        </w:rPr>
        <w:t>: For HO from NR to LTE/5GC, only one QoE configuration can be keep, so</w:t>
      </w:r>
      <w:r>
        <w:rPr>
          <w:rFonts w:hint="eastAsia" w:ascii="Times New Roman" w:hAnsi="Times New Roman" w:eastAsia="等线" w:cs="Calibri"/>
          <w:b/>
          <w:bCs w:val="0"/>
          <w:sz w:val="22"/>
          <w:szCs w:val="22"/>
          <w:lang w:val="en-US" w:eastAsia="zh-CN" w:bidi="ar-SA"/>
        </w:rPr>
        <w:t>ur</w:t>
      </w:r>
      <w:r>
        <w:rPr>
          <w:rFonts w:hint="default" w:ascii="Times New Roman" w:hAnsi="Times New Roman" w:eastAsia="等线" w:cs="Calibri"/>
          <w:b/>
          <w:bCs w:val="0"/>
          <w:sz w:val="22"/>
          <w:szCs w:val="22"/>
          <w:lang w:val="en-US" w:eastAsia="zh-CN" w:bidi="ar-SA"/>
        </w:rPr>
        <w:t>ce gNB</w:t>
      </w:r>
      <w:r>
        <w:rPr>
          <w:rFonts w:hint="eastAsia" w:ascii="Times New Roman" w:hAnsi="Times New Roman" w:eastAsia="等线" w:cs="Calibri"/>
          <w:b/>
          <w:bCs w:val="0"/>
          <w:sz w:val="22"/>
          <w:szCs w:val="22"/>
          <w:lang w:val="en-US" w:eastAsia="zh-CN" w:bidi="ar-SA"/>
        </w:rPr>
        <w:t xml:space="preserve"> </w:t>
      </w:r>
      <w:r>
        <w:rPr>
          <w:rFonts w:hint="default" w:ascii="Times New Roman" w:hAnsi="Times New Roman" w:eastAsia="等线" w:cs="Calibri"/>
          <w:b/>
          <w:bCs w:val="0"/>
          <w:sz w:val="22"/>
          <w:szCs w:val="22"/>
          <w:lang w:val="en-US" w:eastAsia="zh-CN" w:bidi="ar-SA"/>
        </w:rPr>
        <w:t>should transmit all signaling-based QoE configuration to target NG-eNB, and include a recommended</w:t>
      </w:r>
      <w:r>
        <w:rPr>
          <w:rFonts w:hint="eastAsia" w:ascii="Times New Roman" w:hAnsi="Times New Roman" w:eastAsia="等线" w:cs="Calibri"/>
          <w:b/>
          <w:bCs w:val="0"/>
          <w:sz w:val="22"/>
          <w:szCs w:val="22"/>
          <w:lang w:val="en-US" w:eastAsia="zh-CN" w:bidi="ar-SA"/>
        </w:rPr>
        <w:t xml:space="preserve"> </w:t>
      </w:r>
      <w:r>
        <w:rPr>
          <w:rFonts w:hint="default" w:ascii="Times New Roman" w:hAnsi="Times New Roman" w:eastAsia="等线" w:cs="Calibri"/>
          <w:b/>
          <w:bCs w:val="0"/>
          <w:sz w:val="22"/>
          <w:szCs w:val="22"/>
          <w:lang w:val="en-US" w:eastAsia="zh-CN" w:bidi="ar-SA"/>
        </w:rPr>
        <w:t>QoE configuration in RRC container(HandoverPreparationInformation);</w:t>
      </w:r>
    </w:p>
    <w:p>
      <w:pPr>
        <w:rPr>
          <w:rFonts w:hint="default" w:ascii="Times New Roman" w:hAnsi="Times New Roman" w:eastAsia="等线" w:cs="Calibri"/>
          <w:b/>
          <w:bCs w:val="0"/>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4</w:t>
      </w:r>
      <w:r>
        <w:rPr>
          <w:rFonts w:hint="default" w:ascii="Times New Roman" w:hAnsi="Times New Roman" w:eastAsia="等线" w:cs="Calibri"/>
          <w:b/>
          <w:bCs w:val="0"/>
          <w:sz w:val="22"/>
          <w:szCs w:val="22"/>
          <w:lang w:val="en-US" w:eastAsia="zh-CN" w:bidi="ar-SA"/>
        </w:rPr>
        <w:t xml:space="preserve">: Target NG-eNB should make the final decision about which </w:t>
      </w:r>
      <w:r>
        <w:rPr>
          <w:rFonts w:hint="eastAsia" w:ascii="Times New Roman" w:hAnsi="Times New Roman" w:eastAsia="等线" w:cs="Calibri"/>
          <w:b/>
          <w:bCs w:val="0"/>
          <w:sz w:val="22"/>
          <w:szCs w:val="22"/>
          <w:lang w:val="en-US" w:eastAsia="zh-CN" w:bidi="ar-SA"/>
        </w:rPr>
        <w:t xml:space="preserve">QoE </w:t>
      </w:r>
      <w:r>
        <w:rPr>
          <w:rFonts w:hint="default" w:ascii="Times New Roman" w:hAnsi="Times New Roman" w:eastAsia="等线" w:cs="Calibri"/>
          <w:b/>
          <w:bCs w:val="0"/>
          <w:sz w:val="22"/>
          <w:szCs w:val="22"/>
          <w:lang w:val="en-US" w:eastAsia="zh-CN" w:bidi="ar-SA"/>
        </w:rPr>
        <w:t>configuration to keep.</w:t>
      </w:r>
    </w:p>
    <w:p>
      <w:pPr>
        <w:rPr>
          <w:rFonts w:hint="eastAsia" w:ascii="Times New Roman" w:hAnsi="Times New Roman" w:eastAsia="等线" w:cs="Calibri"/>
          <w:bCs/>
          <w:sz w:val="22"/>
          <w:szCs w:val="22"/>
          <w:lang w:val="en-US" w:eastAsia="zh-CN" w:bidi="ar-SA"/>
        </w:rPr>
      </w:pPr>
      <w:r>
        <w:rPr>
          <w:rFonts w:hint="default" w:ascii="Times New Roman" w:hAnsi="Times New Roman" w:eastAsia="等线" w:cs="Calibri"/>
          <w:b/>
          <w:bCs w:val="0"/>
          <w:sz w:val="22"/>
          <w:szCs w:val="22"/>
          <w:lang w:val="en-US" w:eastAsia="zh-CN" w:bidi="ar-SA"/>
        </w:rPr>
        <w:t xml:space="preserve">Proposal </w:t>
      </w:r>
      <w:r>
        <w:rPr>
          <w:rFonts w:hint="eastAsia" w:ascii="Times New Roman" w:hAnsi="Times New Roman" w:eastAsia="等线" w:cs="Calibri"/>
          <w:b/>
          <w:bCs w:val="0"/>
          <w:sz w:val="22"/>
          <w:szCs w:val="22"/>
          <w:lang w:val="en-US" w:eastAsia="zh-CN" w:bidi="ar-SA"/>
        </w:rPr>
        <w:t>5</w:t>
      </w:r>
      <w:r>
        <w:rPr>
          <w:rFonts w:hint="default" w:ascii="Times New Roman" w:hAnsi="Times New Roman" w:eastAsia="等线" w:cs="Calibri"/>
          <w:b/>
          <w:bCs w:val="0"/>
          <w:sz w:val="22"/>
          <w:szCs w:val="22"/>
          <w:lang w:val="en-US" w:eastAsia="zh-CN" w:bidi="ar-SA"/>
        </w:rPr>
        <w:t xml:space="preserve">: </w:t>
      </w:r>
      <w:r>
        <w:rPr>
          <w:rFonts w:hint="eastAsia" w:ascii="Times New Roman" w:hAnsi="Times New Roman" w:eastAsia="等线" w:cs="Calibri"/>
          <w:b/>
          <w:bCs w:val="0"/>
          <w:sz w:val="22"/>
          <w:szCs w:val="22"/>
          <w:lang w:val="en-US" w:eastAsia="zh-CN" w:bidi="ar-SA"/>
        </w:rPr>
        <w:t>The source NR node should send all the s-based QoE measurements configuration to target LTE node, and send back from LTE to NR when UE move back to NR.</w:t>
      </w:r>
    </w:p>
    <w:p>
      <w:pPr>
        <w:rPr>
          <w:rFonts w:ascii="Times New Roman" w:hAnsi="Times New Roman" w:eastAsia="等线"/>
          <w:bCs/>
          <w:sz w:val="22"/>
          <w:szCs w:val="22"/>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6</w:t>
      </w:r>
      <w:r>
        <w:rPr>
          <w:rFonts w:hint="eastAsia" w:ascii="Times New Roman" w:hAnsi="Times New Roman" w:eastAsia="等线"/>
          <w:b/>
          <w:sz w:val="22"/>
          <w:szCs w:val="22"/>
          <w:lang w:val="en-US"/>
        </w:rPr>
        <w:t>:</w:t>
      </w:r>
      <w:r>
        <w:rPr>
          <w:rFonts w:ascii="Times New Roman" w:hAnsi="Times New Roman" w:eastAsia="等线"/>
          <w:b/>
          <w:sz w:val="22"/>
          <w:szCs w:val="22"/>
          <w:lang w:val="en-US"/>
        </w:rPr>
        <w:t xml:space="preserve"> </w:t>
      </w:r>
      <w:r>
        <w:rPr>
          <w:rFonts w:ascii="Times New Roman" w:hAnsi="Times New Roman" w:eastAsia="等线"/>
          <w:b/>
          <w:bCs/>
          <w:sz w:val="22"/>
          <w:szCs w:val="22"/>
          <w:lang w:val="en-US"/>
        </w:rPr>
        <w:t xml:space="preserve">For </w:t>
      </w:r>
      <w:r>
        <w:rPr>
          <w:rFonts w:hint="eastAsia" w:ascii="Times New Roman" w:hAnsi="Times New Roman" w:eastAsia="等线"/>
          <w:b/>
          <w:bCs/>
          <w:sz w:val="22"/>
          <w:szCs w:val="22"/>
          <w:lang w:val="en-US" w:eastAsia="zh-CN"/>
        </w:rPr>
        <w:t>HO from LTE/5GC to NR, there is no impacts for RAN3 specification</w:t>
      </w:r>
      <w:r>
        <w:rPr>
          <w:rFonts w:ascii="Times New Roman" w:hAnsi="Times New Roman" w:eastAsia="等线"/>
          <w:b/>
          <w:bCs/>
          <w:sz w:val="22"/>
          <w:szCs w:val="22"/>
          <w:lang w:val="en-US"/>
        </w:rPr>
        <w:t>.</w:t>
      </w:r>
    </w:p>
    <w:p>
      <w:pPr>
        <w:rPr>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3ED"/>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BE4901"/>
    <w:rsid w:val="02BE598D"/>
    <w:rsid w:val="03823CCE"/>
    <w:rsid w:val="04752218"/>
    <w:rsid w:val="04806B7E"/>
    <w:rsid w:val="05C55C2E"/>
    <w:rsid w:val="05D360C1"/>
    <w:rsid w:val="0637581D"/>
    <w:rsid w:val="063F7AB5"/>
    <w:rsid w:val="06BD2FCD"/>
    <w:rsid w:val="07564B65"/>
    <w:rsid w:val="08CD339C"/>
    <w:rsid w:val="08CF208F"/>
    <w:rsid w:val="091907C8"/>
    <w:rsid w:val="093667F2"/>
    <w:rsid w:val="09542584"/>
    <w:rsid w:val="0998330D"/>
    <w:rsid w:val="09D72C99"/>
    <w:rsid w:val="0A491491"/>
    <w:rsid w:val="0AC71EE3"/>
    <w:rsid w:val="0B5F6E5D"/>
    <w:rsid w:val="0BD95AE1"/>
    <w:rsid w:val="0C1C61E1"/>
    <w:rsid w:val="0C303ECB"/>
    <w:rsid w:val="0C8655D1"/>
    <w:rsid w:val="0CC46135"/>
    <w:rsid w:val="0E1D4901"/>
    <w:rsid w:val="0E9E384F"/>
    <w:rsid w:val="0F525467"/>
    <w:rsid w:val="0F8B024A"/>
    <w:rsid w:val="0FDA68AA"/>
    <w:rsid w:val="111F41C0"/>
    <w:rsid w:val="11A502B5"/>
    <w:rsid w:val="125A4EAA"/>
    <w:rsid w:val="12A02E80"/>
    <w:rsid w:val="12B23BCF"/>
    <w:rsid w:val="13270AC8"/>
    <w:rsid w:val="13392E6D"/>
    <w:rsid w:val="134342A3"/>
    <w:rsid w:val="144C30DB"/>
    <w:rsid w:val="14576AE2"/>
    <w:rsid w:val="14764DB5"/>
    <w:rsid w:val="15EF77C6"/>
    <w:rsid w:val="166824B4"/>
    <w:rsid w:val="16E46B93"/>
    <w:rsid w:val="17060160"/>
    <w:rsid w:val="183C4134"/>
    <w:rsid w:val="18650326"/>
    <w:rsid w:val="190A2F6F"/>
    <w:rsid w:val="193623D1"/>
    <w:rsid w:val="197A336A"/>
    <w:rsid w:val="19E57B15"/>
    <w:rsid w:val="1A145EE5"/>
    <w:rsid w:val="1A5D4B06"/>
    <w:rsid w:val="1ADD0F9D"/>
    <w:rsid w:val="1B545DD1"/>
    <w:rsid w:val="1C1E5D3E"/>
    <w:rsid w:val="1CE41ED4"/>
    <w:rsid w:val="1D2241D4"/>
    <w:rsid w:val="1D43574A"/>
    <w:rsid w:val="1D634F0F"/>
    <w:rsid w:val="1F8B4261"/>
    <w:rsid w:val="1F9B7FFA"/>
    <w:rsid w:val="1FA54280"/>
    <w:rsid w:val="1FF706DD"/>
    <w:rsid w:val="211516F9"/>
    <w:rsid w:val="21171155"/>
    <w:rsid w:val="226E17EF"/>
    <w:rsid w:val="229E0E8F"/>
    <w:rsid w:val="22C20E17"/>
    <w:rsid w:val="22C9418D"/>
    <w:rsid w:val="23154713"/>
    <w:rsid w:val="23917DB2"/>
    <w:rsid w:val="23C925DD"/>
    <w:rsid w:val="242F2C13"/>
    <w:rsid w:val="244F69B0"/>
    <w:rsid w:val="24E56C29"/>
    <w:rsid w:val="257139A1"/>
    <w:rsid w:val="27C16C30"/>
    <w:rsid w:val="27DF4678"/>
    <w:rsid w:val="283D4410"/>
    <w:rsid w:val="295419DA"/>
    <w:rsid w:val="29B06017"/>
    <w:rsid w:val="29FE4971"/>
    <w:rsid w:val="2A2806F3"/>
    <w:rsid w:val="2A305EC5"/>
    <w:rsid w:val="2A947DE8"/>
    <w:rsid w:val="2AA22934"/>
    <w:rsid w:val="2AC43948"/>
    <w:rsid w:val="2B28065B"/>
    <w:rsid w:val="2B345733"/>
    <w:rsid w:val="2B3F72B2"/>
    <w:rsid w:val="2B4F306B"/>
    <w:rsid w:val="2B7259B8"/>
    <w:rsid w:val="2BC947D2"/>
    <w:rsid w:val="2BDB354D"/>
    <w:rsid w:val="2C4C4BBC"/>
    <w:rsid w:val="2C925493"/>
    <w:rsid w:val="2CE03230"/>
    <w:rsid w:val="2D30621A"/>
    <w:rsid w:val="2DE64CDC"/>
    <w:rsid w:val="2E177FDB"/>
    <w:rsid w:val="2E3118D8"/>
    <w:rsid w:val="2E462A06"/>
    <w:rsid w:val="2E6A74B4"/>
    <w:rsid w:val="2E6D0438"/>
    <w:rsid w:val="2F157F4A"/>
    <w:rsid w:val="2F6621DF"/>
    <w:rsid w:val="2FB510EC"/>
    <w:rsid w:val="2FC32F68"/>
    <w:rsid w:val="30761D31"/>
    <w:rsid w:val="30BA3ED1"/>
    <w:rsid w:val="30BE3A29"/>
    <w:rsid w:val="31204968"/>
    <w:rsid w:val="33EA35AD"/>
    <w:rsid w:val="353A0AAB"/>
    <w:rsid w:val="357339D9"/>
    <w:rsid w:val="35A10BB2"/>
    <w:rsid w:val="36273A23"/>
    <w:rsid w:val="362B08C7"/>
    <w:rsid w:val="362E7B8F"/>
    <w:rsid w:val="36310C28"/>
    <w:rsid w:val="36792C62"/>
    <w:rsid w:val="368461D9"/>
    <w:rsid w:val="36F40202"/>
    <w:rsid w:val="37166B78"/>
    <w:rsid w:val="376A5776"/>
    <w:rsid w:val="38C079AD"/>
    <w:rsid w:val="38C9453B"/>
    <w:rsid w:val="39004CC5"/>
    <w:rsid w:val="392D14D4"/>
    <w:rsid w:val="39411259"/>
    <w:rsid w:val="39796DCB"/>
    <w:rsid w:val="399043AA"/>
    <w:rsid w:val="3AE31128"/>
    <w:rsid w:val="3B674128"/>
    <w:rsid w:val="3BF646CD"/>
    <w:rsid w:val="3C7209A7"/>
    <w:rsid w:val="3CA45F55"/>
    <w:rsid w:val="3CAF0622"/>
    <w:rsid w:val="3CED5BAF"/>
    <w:rsid w:val="3E71782D"/>
    <w:rsid w:val="3F486CE9"/>
    <w:rsid w:val="3F5546BC"/>
    <w:rsid w:val="3F684F93"/>
    <w:rsid w:val="3FE148A8"/>
    <w:rsid w:val="3FE27CDB"/>
    <w:rsid w:val="3FEA48A9"/>
    <w:rsid w:val="3FED4319"/>
    <w:rsid w:val="422C2522"/>
    <w:rsid w:val="42464D8C"/>
    <w:rsid w:val="42AC253D"/>
    <w:rsid w:val="43266FB8"/>
    <w:rsid w:val="43AC0714"/>
    <w:rsid w:val="43CF451B"/>
    <w:rsid w:val="43E26D2A"/>
    <w:rsid w:val="44EE7080"/>
    <w:rsid w:val="44F745CF"/>
    <w:rsid w:val="451C4FB1"/>
    <w:rsid w:val="455517CB"/>
    <w:rsid w:val="457825E4"/>
    <w:rsid w:val="459F465A"/>
    <w:rsid w:val="46432FE7"/>
    <w:rsid w:val="4693423A"/>
    <w:rsid w:val="4701694A"/>
    <w:rsid w:val="47072496"/>
    <w:rsid w:val="471A7B91"/>
    <w:rsid w:val="47275B26"/>
    <w:rsid w:val="47A47339"/>
    <w:rsid w:val="47B36DD3"/>
    <w:rsid w:val="47CC6C42"/>
    <w:rsid w:val="47D5208C"/>
    <w:rsid w:val="48C63DF7"/>
    <w:rsid w:val="48C77CED"/>
    <w:rsid w:val="494E3DC0"/>
    <w:rsid w:val="49823E03"/>
    <w:rsid w:val="4B3833FC"/>
    <w:rsid w:val="4B766B51"/>
    <w:rsid w:val="4C1134F9"/>
    <w:rsid w:val="4D6250F1"/>
    <w:rsid w:val="4DA17EF1"/>
    <w:rsid w:val="4E2646EA"/>
    <w:rsid w:val="4E4F060B"/>
    <w:rsid w:val="4EBC6B68"/>
    <w:rsid w:val="4F71072F"/>
    <w:rsid w:val="4FAD5B31"/>
    <w:rsid w:val="4FF614FC"/>
    <w:rsid w:val="50473316"/>
    <w:rsid w:val="513D08B7"/>
    <w:rsid w:val="514903C3"/>
    <w:rsid w:val="5191417F"/>
    <w:rsid w:val="51DC14C4"/>
    <w:rsid w:val="51ED116C"/>
    <w:rsid w:val="523A7C7F"/>
    <w:rsid w:val="52B6455F"/>
    <w:rsid w:val="52DD19BB"/>
    <w:rsid w:val="531829B6"/>
    <w:rsid w:val="531942AD"/>
    <w:rsid w:val="545123F3"/>
    <w:rsid w:val="549C38C8"/>
    <w:rsid w:val="54EC4684"/>
    <w:rsid w:val="551303A1"/>
    <w:rsid w:val="56362637"/>
    <w:rsid w:val="56D0377C"/>
    <w:rsid w:val="56EA0AB1"/>
    <w:rsid w:val="574122DC"/>
    <w:rsid w:val="575D3263"/>
    <w:rsid w:val="576D087E"/>
    <w:rsid w:val="57835EA0"/>
    <w:rsid w:val="58335A5D"/>
    <w:rsid w:val="596C02F9"/>
    <w:rsid w:val="59BC4ED0"/>
    <w:rsid w:val="59CD1728"/>
    <w:rsid w:val="59E5080C"/>
    <w:rsid w:val="59EF1AD9"/>
    <w:rsid w:val="5A8D3A63"/>
    <w:rsid w:val="5A8F1875"/>
    <w:rsid w:val="5A9D3EE7"/>
    <w:rsid w:val="5AEC74F8"/>
    <w:rsid w:val="5B7079CB"/>
    <w:rsid w:val="5BD762C4"/>
    <w:rsid w:val="5C7143C6"/>
    <w:rsid w:val="5CC8203E"/>
    <w:rsid w:val="5CED4F6D"/>
    <w:rsid w:val="5CF862C6"/>
    <w:rsid w:val="5D1464A5"/>
    <w:rsid w:val="5D5C1E8F"/>
    <w:rsid w:val="5D5E4DB7"/>
    <w:rsid w:val="5DF77DE0"/>
    <w:rsid w:val="5E1955EB"/>
    <w:rsid w:val="5E4A6AD5"/>
    <w:rsid w:val="5E7023B2"/>
    <w:rsid w:val="5F0F7504"/>
    <w:rsid w:val="5FC553F9"/>
    <w:rsid w:val="604C0A79"/>
    <w:rsid w:val="60A93A22"/>
    <w:rsid w:val="60C3026A"/>
    <w:rsid w:val="617B2260"/>
    <w:rsid w:val="629F20B6"/>
    <w:rsid w:val="62A10176"/>
    <w:rsid w:val="63097D09"/>
    <w:rsid w:val="639221EC"/>
    <w:rsid w:val="640139DD"/>
    <w:rsid w:val="64205924"/>
    <w:rsid w:val="646B048F"/>
    <w:rsid w:val="64B516AE"/>
    <w:rsid w:val="650F107A"/>
    <w:rsid w:val="65803F95"/>
    <w:rsid w:val="65B91104"/>
    <w:rsid w:val="660C196D"/>
    <w:rsid w:val="6669436A"/>
    <w:rsid w:val="666D3FDB"/>
    <w:rsid w:val="66CE5C6A"/>
    <w:rsid w:val="66FB3B9A"/>
    <w:rsid w:val="676A48B2"/>
    <w:rsid w:val="67A06F8C"/>
    <w:rsid w:val="67B54588"/>
    <w:rsid w:val="67DD6DAE"/>
    <w:rsid w:val="680F3235"/>
    <w:rsid w:val="689D062F"/>
    <w:rsid w:val="69862E6A"/>
    <w:rsid w:val="69A17C70"/>
    <w:rsid w:val="69CD0BDF"/>
    <w:rsid w:val="69E87B42"/>
    <w:rsid w:val="69EC32FE"/>
    <w:rsid w:val="69FA2796"/>
    <w:rsid w:val="6B713E38"/>
    <w:rsid w:val="6B9F6E13"/>
    <w:rsid w:val="6BB87C7D"/>
    <w:rsid w:val="6BE50B5D"/>
    <w:rsid w:val="6C2548E3"/>
    <w:rsid w:val="6CEB7969"/>
    <w:rsid w:val="6CEE7C83"/>
    <w:rsid w:val="6DA4006D"/>
    <w:rsid w:val="6DB25003"/>
    <w:rsid w:val="6DDB620D"/>
    <w:rsid w:val="6FA50228"/>
    <w:rsid w:val="6FDB386D"/>
    <w:rsid w:val="711E0693"/>
    <w:rsid w:val="729D729D"/>
    <w:rsid w:val="72D958AB"/>
    <w:rsid w:val="735B2D57"/>
    <w:rsid w:val="73F904AD"/>
    <w:rsid w:val="74346EAC"/>
    <w:rsid w:val="74516EE2"/>
    <w:rsid w:val="74D63C4F"/>
    <w:rsid w:val="75E83B00"/>
    <w:rsid w:val="76616E61"/>
    <w:rsid w:val="76A03DCF"/>
    <w:rsid w:val="77A33DD6"/>
    <w:rsid w:val="77E2122B"/>
    <w:rsid w:val="788C4C80"/>
    <w:rsid w:val="78A13E89"/>
    <w:rsid w:val="78D31F49"/>
    <w:rsid w:val="791259C0"/>
    <w:rsid w:val="796A1C3B"/>
    <w:rsid w:val="79F65D09"/>
    <w:rsid w:val="7A4660BA"/>
    <w:rsid w:val="7AC91CFF"/>
    <w:rsid w:val="7B110E84"/>
    <w:rsid w:val="7B2A4C01"/>
    <w:rsid w:val="7B3332AA"/>
    <w:rsid w:val="7B3A3F28"/>
    <w:rsid w:val="7BC1546B"/>
    <w:rsid w:val="7BFF1929"/>
    <w:rsid w:val="7BFF6BFE"/>
    <w:rsid w:val="7C03215E"/>
    <w:rsid w:val="7C0323A6"/>
    <w:rsid w:val="7C290923"/>
    <w:rsid w:val="7D314634"/>
    <w:rsid w:val="7E176AFE"/>
    <w:rsid w:val="7E80646A"/>
    <w:rsid w:val="7F2A369C"/>
    <w:rsid w:val="7F4E2B7E"/>
    <w:rsid w:val="7FA95A0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未处理的提及1"/>
    <w:basedOn w:val="21"/>
    <w:unhideWhenUsed/>
    <w:qFormat/>
    <w:uiPriority w:val="99"/>
    <w:rPr>
      <w:color w:val="605E5C"/>
      <w:shd w:val="clear" w:color="auto" w:fill="E1DFDD"/>
    </w:rPr>
  </w:style>
  <w:style w:type="character" w:customStyle="1" w:styleId="72">
    <w:name w:val="@他1"/>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4">
    <w:name w:val="首标题"/>
    <w:qFormat/>
    <w:uiPriority w:val="0"/>
    <w:rPr>
      <w:rFonts w:ascii="Arial" w:hAnsi="Arial" w:eastAsia="宋体"/>
      <w:sz w:val="24"/>
      <w:lang w:val="en-US" w:eastAsia="zh-CN" w:bidi="ar-SA"/>
    </w:rPr>
  </w:style>
  <w:style w:type="paragraph" w:customStyle="1" w:styleId="75">
    <w:name w:val="修订2"/>
    <w:hidden/>
    <w:semiHidden/>
    <w:qFormat/>
    <w:uiPriority w:val="99"/>
    <w:rPr>
      <w:rFonts w:ascii="Arial" w:hAnsi="Arial" w:eastAsia="Times New Roman" w:cs="Times New Roman"/>
      <w:lang w:val="en-GB" w:eastAsia="zh-CN" w:bidi="ar-SA"/>
    </w:rPr>
  </w:style>
  <w:style w:type="paragraph" w:customStyle="1" w:styleId="76">
    <w:name w:val="修订3"/>
    <w:hidden/>
    <w:semiHidden/>
    <w:qFormat/>
    <w:uiPriority w:val="99"/>
    <w:rPr>
      <w:rFonts w:ascii="Arial" w:hAnsi="Arial" w:eastAsia="Times New Roman" w:cs="Times New Roman"/>
      <w:lang w:val="en-GB" w:eastAsia="zh-CN" w:bidi="ar-SA"/>
    </w:rPr>
  </w:style>
  <w:style w:type="paragraph" w:customStyle="1" w:styleId="77">
    <w:name w:val="Revision"/>
    <w:hidden/>
    <w:semiHidden/>
    <w:qFormat/>
    <w:uiPriority w:val="99"/>
    <w:rPr>
      <w:rFonts w:ascii="Arial" w:hAnsi="Arial" w:eastAsia="Times New Roman" w:cs="Times New Roman"/>
      <w:lang w:val="en-GB" w:eastAsia="zh-CN" w:bidi="ar-SA"/>
    </w:rPr>
  </w:style>
  <w:style w:type="paragraph" w:customStyle="1" w:styleId="78">
    <w:name w:val="listparagraph3"/>
    <w:basedOn w:val="1"/>
    <w:semiHidden/>
    <w:qFormat/>
    <w:uiPriority w:val="0"/>
    <w:pPr>
      <w:spacing w:after="100" w:afterAutospacing="1"/>
    </w:pPr>
    <w:rPr>
      <w:rFonts w:ascii="Calibri" w:hAnsi="Calibri" w:eastAsia="宋体"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EBDAD-F25C-4923-B5F8-0F15B0BFAADC}">
  <ds:schemaRefs/>
</ds:datastoreItem>
</file>

<file path=customXml/itemProps2.xml><?xml version="1.0" encoding="utf-8"?>
<ds:datastoreItem xmlns:ds="http://schemas.openxmlformats.org/officeDocument/2006/customXml" ds:itemID="{7957D943-A877-475D-BA92-1F9DEC590F82}">
  <ds:schemaRefs/>
</ds:datastoreItem>
</file>

<file path=customXml/itemProps3.xml><?xml version="1.0" encoding="utf-8"?>
<ds:datastoreItem xmlns:ds="http://schemas.openxmlformats.org/officeDocument/2006/customXml" ds:itemID="{DE493EDE-3679-4263-A95C-CB3FBE678763}">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FB6DDB7C-9959-4AEC-AA49-498A6EC77218}">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138</TotalTime>
  <ScaleCrop>false</ScaleCrop>
  <LinksUpToDate>false</LinksUpToDate>
  <CharactersWithSpaces>7094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R3-232160</cp:lastModifiedBy>
  <dcterms:modified xsi:type="dcterms:W3CDTF">2023-05-12T06:05:28Z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E6FC125F072D40CE9C9CE9F80164E99B</vt:lpwstr>
  </property>
</Properties>
</file>